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EDB" w:rsidRPr="0041501A" w:rsidRDefault="00264EDB" w:rsidP="00264EDB">
      <w:pPr>
        <w:jc w:val="center"/>
        <w:rPr>
          <w:b/>
          <w:bCs/>
          <w:sz w:val="32"/>
          <w:szCs w:val="32"/>
        </w:rPr>
      </w:pPr>
      <w:r w:rsidRPr="0041501A">
        <w:rPr>
          <w:b/>
          <w:bCs/>
          <w:sz w:val="32"/>
          <w:szCs w:val="32"/>
          <w:u w:val="single"/>
        </w:rPr>
        <w:t xml:space="preserve">NỘI DUNG </w:t>
      </w:r>
      <w:r>
        <w:rPr>
          <w:b/>
          <w:bCs/>
          <w:sz w:val="32"/>
          <w:szCs w:val="32"/>
          <w:u w:val="single"/>
        </w:rPr>
        <w:t xml:space="preserve">CHÍNH </w:t>
      </w:r>
      <w:r w:rsidRPr="0041501A">
        <w:rPr>
          <w:b/>
          <w:bCs/>
          <w:sz w:val="32"/>
          <w:szCs w:val="32"/>
          <w:u w:val="single"/>
        </w:rPr>
        <w:t>KHÓA HỌC</w:t>
      </w:r>
      <w:r w:rsidRPr="0041501A">
        <w:rPr>
          <w:b/>
          <w:bCs/>
          <w:sz w:val="32"/>
          <w:szCs w:val="32"/>
        </w:rPr>
        <w:t>:</w:t>
      </w:r>
    </w:p>
    <w:p w:rsidR="00264EDB" w:rsidRDefault="00264EDB" w:rsidP="00264EDB">
      <w:pPr>
        <w:jc w:val="center"/>
        <w:rPr>
          <w:b/>
          <w:bCs/>
          <w:sz w:val="32"/>
          <w:szCs w:val="32"/>
        </w:rPr>
      </w:pPr>
      <w:r w:rsidRPr="0041501A">
        <w:rPr>
          <w:b/>
          <w:bCs/>
          <w:sz w:val="32"/>
          <w:szCs w:val="32"/>
        </w:rPr>
        <w:t>“Hợp đồng lao động – Kỹ năng xử kỷ luật lao động và giải quyết</w:t>
      </w:r>
    </w:p>
    <w:p w:rsidR="00264EDB" w:rsidRPr="0041501A" w:rsidRDefault="00264EDB" w:rsidP="00264EDB">
      <w:pPr>
        <w:jc w:val="center"/>
        <w:rPr>
          <w:b/>
          <w:bCs/>
          <w:sz w:val="32"/>
          <w:szCs w:val="32"/>
        </w:rPr>
      </w:pPr>
      <w:r w:rsidRPr="0041501A">
        <w:rPr>
          <w:b/>
          <w:bCs/>
          <w:sz w:val="32"/>
          <w:szCs w:val="32"/>
        </w:rPr>
        <w:t>tranh chấp lao động”</w:t>
      </w:r>
    </w:p>
    <w:p w:rsidR="00264EDB" w:rsidRDefault="00264EDB" w:rsidP="00264EDB">
      <w:pPr>
        <w:jc w:val="both"/>
        <w:rPr>
          <w:b/>
          <w:bCs/>
          <w:u w:val="single"/>
        </w:rPr>
      </w:pPr>
    </w:p>
    <w:p w:rsidR="00264EDB" w:rsidRPr="0041501A" w:rsidRDefault="00264EDB" w:rsidP="00264EDB">
      <w:pPr>
        <w:jc w:val="both"/>
        <w:rPr>
          <w:b/>
          <w:bCs/>
        </w:rPr>
      </w:pPr>
      <w:r w:rsidRPr="0041501A">
        <w:rPr>
          <w:b/>
          <w:bCs/>
          <w:u w:val="single"/>
        </w:rPr>
        <w:t>CHUYÊN ĐỀ 1</w:t>
      </w:r>
      <w:r w:rsidRPr="0041501A">
        <w:rPr>
          <w:b/>
          <w:bCs/>
        </w:rPr>
        <w:t>.  HỢP ĐỒNG LAO ĐỘNG (HĐLĐ)</w:t>
      </w:r>
    </w:p>
    <w:p w:rsidR="00264EDB" w:rsidRPr="0041501A" w:rsidRDefault="00264EDB" w:rsidP="00264EDB">
      <w:pPr>
        <w:shd w:val="clear" w:color="auto" w:fill="FFFFFF"/>
        <w:ind w:left="360"/>
        <w:jc w:val="both"/>
      </w:pPr>
      <w:r w:rsidRPr="00AE5815">
        <w:rPr>
          <w:b/>
          <w:bCs/>
          <w:iCs/>
        </w:rPr>
        <w:t>1</w:t>
      </w:r>
      <w:r w:rsidRPr="0041501A">
        <w:rPr>
          <w:bCs/>
          <w:iCs/>
        </w:rPr>
        <w:t>. Khái quát chung về Hợp đồng lao động</w:t>
      </w:r>
    </w:p>
    <w:p w:rsidR="00264EDB" w:rsidRPr="0041501A" w:rsidRDefault="00264EDB" w:rsidP="00264EDB">
      <w:pPr>
        <w:pStyle w:val="ListParagraph"/>
        <w:numPr>
          <w:ilvl w:val="0"/>
          <w:numId w:val="2"/>
        </w:numPr>
        <w:shd w:val="clear" w:color="auto" w:fill="FFFFFF"/>
        <w:spacing w:line="240" w:lineRule="auto"/>
        <w:ind w:left="720"/>
        <w:jc w:val="both"/>
        <w:rPr>
          <w:rFonts w:ascii="Times New Roman" w:eastAsia="Times New Roman" w:hAnsi="Times New Roman"/>
          <w:i/>
          <w:sz w:val="26"/>
          <w:szCs w:val="26"/>
          <w:bdr w:val="none" w:sz="0" w:space="0" w:color="auto" w:frame="1"/>
        </w:rPr>
      </w:pPr>
      <w:r w:rsidRPr="0041501A">
        <w:rPr>
          <w:rFonts w:ascii="Times New Roman" w:eastAsia="Times New Roman" w:hAnsi="Times New Roman"/>
          <w:i/>
          <w:sz w:val="26"/>
          <w:szCs w:val="26"/>
        </w:rPr>
        <w:t xml:space="preserve">Khái niệm, đặc điểm, hình thức, phân loại HĐLĐ </w:t>
      </w:r>
    </w:p>
    <w:p w:rsidR="00264EDB" w:rsidRPr="0041501A" w:rsidRDefault="00264EDB" w:rsidP="00264EDB">
      <w:pPr>
        <w:pStyle w:val="ListParagraph"/>
        <w:numPr>
          <w:ilvl w:val="0"/>
          <w:numId w:val="2"/>
        </w:numPr>
        <w:shd w:val="clear" w:color="auto" w:fill="FFFFFF"/>
        <w:spacing w:line="240" w:lineRule="auto"/>
        <w:ind w:left="720"/>
        <w:jc w:val="both"/>
        <w:rPr>
          <w:rFonts w:ascii="Times New Roman" w:eastAsia="Times New Roman" w:hAnsi="Times New Roman"/>
          <w:i/>
          <w:sz w:val="26"/>
          <w:szCs w:val="26"/>
          <w:bdr w:val="none" w:sz="0" w:space="0" w:color="auto" w:frame="1"/>
        </w:rPr>
      </w:pPr>
      <w:r w:rsidRPr="0041501A">
        <w:rPr>
          <w:rFonts w:ascii="Times New Roman" w:eastAsia="Times New Roman" w:hAnsi="Times New Roman"/>
          <w:i/>
          <w:sz w:val="26"/>
          <w:szCs w:val="26"/>
          <w:bdr w:val="none" w:sz="0" w:space="0" w:color="auto" w:frame="1"/>
        </w:rPr>
        <w:t>Mẫu HĐLĐ phù hợp nhất hiện nay. Hướng dẫn cách ghi HĐLĐ về phần lương, phụ cấp, bổ sung và các chế độ phúc lợi khác phù hợp với luật BHXH</w:t>
      </w:r>
    </w:p>
    <w:p w:rsidR="00264EDB" w:rsidRPr="0041501A" w:rsidRDefault="00264EDB" w:rsidP="00264EDB">
      <w:pPr>
        <w:pStyle w:val="ListParagraph"/>
        <w:numPr>
          <w:ilvl w:val="0"/>
          <w:numId w:val="2"/>
        </w:numPr>
        <w:shd w:val="clear" w:color="auto" w:fill="FFFFFF"/>
        <w:spacing w:line="240" w:lineRule="auto"/>
        <w:ind w:left="720"/>
        <w:jc w:val="both"/>
        <w:rPr>
          <w:rFonts w:ascii="Times New Roman" w:eastAsia="Times New Roman" w:hAnsi="Times New Roman"/>
          <w:i/>
          <w:sz w:val="26"/>
          <w:szCs w:val="26"/>
        </w:rPr>
      </w:pPr>
      <w:r w:rsidRPr="0041501A">
        <w:rPr>
          <w:rFonts w:ascii="Times New Roman" w:eastAsia="Times New Roman" w:hAnsi="Times New Roman"/>
          <w:i/>
          <w:sz w:val="26"/>
          <w:szCs w:val="26"/>
        </w:rPr>
        <w:t>Mối quan hệ của HĐLĐ với các quan hệ pháp lý khác trong quan hệ lao động tại Doanh nghiệp</w:t>
      </w:r>
    </w:p>
    <w:p w:rsidR="00264EDB" w:rsidRPr="0041501A" w:rsidRDefault="00264EDB" w:rsidP="00264EDB">
      <w:pPr>
        <w:ind w:left="360"/>
        <w:jc w:val="both"/>
      </w:pPr>
      <w:r w:rsidRPr="00AE5815">
        <w:rPr>
          <w:b/>
        </w:rPr>
        <w:t>2</w:t>
      </w:r>
      <w:r w:rsidRPr="0041501A">
        <w:t>.  Những quy định của pháp luật về HĐLĐ</w:t>
      </w:r>
    </w:p>
    <w:p w:rsidR="00264EDB" w:rsidRPr="0041501A" w:rsidRDefault="00264EDB" w:rsidP="00264EDB">
      <w:pPr>
        <w:pStyle w:val="ListParagraph"/>
        <w:numPr>
          <w:ilvl w:val="0"/>
          <w:numId w:val="1"/>
        </w:numPr>
        <w:spacing w:line="240" w:lineRule="auto"/>
        <w:ind w:left="720"/>
        <w:jc w:val="both"/>
        <w:rPr>
          <w:rFonts w:ascii="Times New Roman" w:eastAsia="Times New Roman" w:hAnsi="Times New Roman"/>
          <w:i/>
          <w:sz w:val="26"/>
          <w:szCs w:val="26"/>
          <w:bdr w:val="none" w:sz="0" w:space="0" w:color="auto" w:frame="1"/>
        </w:rPr>
      </w:pPr>
      <w:r w:rsidRPr="0041501A">
        <w:rPr>
          <w:rFonts w:ascii="Times New Roman" w:eastAsia="Times New Roman" w:hAnsi="Times New Roman"/>
          <w:i/>
          <w:sz w:val="26"/>
          <w:szCs w:val="26"/>
          <w:bdr w:val="none" w:sz="0" w:space="0" w:color="auto" w:frame="1"/>
        </w:rPr>
        <w:t>Hệ thống văn bản pháp luật lao động cập nhật mới nhất có liên quan.</w:t>
      </w:r>
    </w:p>
    <w:p w:rsidR="00264EDB" w:rsidRPr="0041501A" w:rsidRDefault="00264EDB" w:rsidP="00264EDB">
      <w:pPr>
        <w:pStyle w:val="ListParagraph"/>
        <w:numPr>
          <w:ilvl w:val="0"/>
          <w:numId w:val="1"/>
        </w:numPr>
        <w:spacing w:line="240" w:lineRule="auto"/>
        <w:ind w:left="720"/>
        <w:jc w:val="both"/>
        <w:rPr>
          <w:rFonts w:ascii="Times New Roman" w:hAnsi="Times New Roman"/>
          <w:i/>
          <w:sz w:val="26"/>
          <w:szCs w:val="26"/>
        </w:rPr>
      </w:pPr>
      <w:r w:rsidRPr="0041501A">
        <w:rPr>
          <w:rFonts w:ascii="Times New Roman" w:hAnsi="Times New Roman"/>
          <w:i/>
          <w:sz w:val="26"/>
          <w:szCs w:val="26"/>
        </w:rPr>
        <w:t>Nguyên tắc giao kết hợp đồng (</w:t>
      </w:r>
      <w:r w:rsidRPr="0041501A">
        <w:rPr>
          <w:rFonts w:ascii="Times New Roman" w:eastAsia="Times New Roman" w:hAnsi="Times New Roman"/>
          <w:i/>
          <w:sz w:val="26"/>
          <w:szCs w:val="26"/>
          <w:bdr w:val="none" w:sz="0" w:space="0" w:color="auto" w:frame="1"/>
        </w:rPr>
        <w:t xml:space="preserve">Quy định về HĐ thử việc, đánh giá thử việc, thời gian đánh giá thử việc,..) </w:t>
      </w:r>
    </w:p>
    <w:p w:rsidR="00264EDB" w:rsidRPr="0041501A" w:rsidRDefault="00264EDB" w:rsidP="00264EDB">
      <w:pPr>
        <w:pStyle w:val="ListParagraph"/>
        <w:numPr>
          <w:ilvl w:val="0"/>
          <w:numId w:val="1"/>
        </w:numPr>
        <w:spacing w:line="240" w:lineRule="auto"/>
        <w:ind w:left="720"/>
        <w:jc w:val="both"/>
        <w:rPr>
          <w:rFonts w:ascii="Times New Roman" w:hAnsi="Times New Roman"/>
          <w:i/>
          <w:sz w:val="26"/>
          <w:szCs w:val="26"/>
        </w:rPr>
      </w:pPr>
      <w:r w:rsidRPr="0041501A">
        <w:rPr>
          <w:rFonts w:ascii="Times New Roman" w:hAnsi="Times New Roman"/>
          <w:i/>
          <w:sz w:val="26"/>
          <w:szCs w:val="26"/>
        </w:rPr>
        <w:t>Các điều kiện có hiệu lực của hợp đồng</w:t>
      </w:r>
    </w:p>
    <w:p w:rsidR="00264EDB" w:rsidRPr="0041501A" w:rsidRDefault="00264EDB" w:rsidP="00264EDB">
      <w:pPr>
        <w:pStyle w:val="ListParagraph"/>
        <w:numPr>
          <w:ilvl w:val="0"/>
          <w:numId w:val="1"/>
        </w:numPr>
        <w:shd w:val="clear" w:color="auto" w:fill="FFFFFF"/>
        <w:spacing w:line="240" w:lineRule="auto"/>
        <w:ind w:left="720"/>
        <w:jc w:val="both"/>
        <w:rPr>
          <w:rFonts w:ascii="Times New Roman" w:eastAsia="Times New Roman" w:hAnsi="Times New Roman"/>
          <w:i/>
          <w:sz w:val="26"/>
          <w:szCs w:val="26"/>
        </w:rPr>
      </w:pPr>
      <w:r w:rsidRPr="0041501A">
        <w:rPr>
          <w:rFonts w:ascii="Times New Roman" w:hAnsi="Times New Roman"/>
          <w:i/>
          <w:sz w:val="26"/>
          <w:szCs w:val="26"/>
        </w:rPr>
        <w:t>Các trường hợp thay đổi, tạm hoãn, chấm dứt HĐLĐ</w:t>
      </w:r>
    </w:p>
    <w:p w:rsidR="00264EDB" w:rsidRPr="0041501A" w:rsidRDefault="00264EDB" w:rsidP="00264EDB">
      <w:pPr>
        <w:pStyle w:val="ListParagraph"/>
        <w:numPr>
          <w:ilvl w:val="0"/>
          <w:numId w:val="1"/>
        </w:numPr>
        <w:spacing w:line="240" w:lineRule="auto"/>
        <w:ind w:left="720"/>
        <w:jc w:val="both"/>
        <w:rPr>
          <w:rFonts w:ascii="Times New Roman" w:hAnsi="Times New Roman"/>
          <w:i/>
          <w:sz w:val="26"/>
          <w:szCs w:val="26"/>
        </w:rPr>
      </w:pPr>
      <w:r w:rsidRPr="0041501A">
        <w:rPr>
          <w:rFonts w:ascii="Times New Roman" w:hAnsi="Times New Roman"/>
          <w:i/>
          <w:sz w:val="26"/>
          <w:szCs w:val="26"/>
        </w:rPr>
        <w:t>Giải quyết chế độ khi chấm dứt HĐLĐ</w:t>
      </w:r>
    </w:p>
    <w:p w:rsidR="00264EDB" w:rsidRPr="0041501A" w:rsidRDefault="00264EDB" w:rsidP="00264EDB">
      <w:pPr>
        <w:pStyle w:val="ListParagraph"/>
        <w:numPr>
          <w:ilvl w:val="0"/>
          <w:numId w:val="1"/>
        </w:numPr>
        <w:spacing w:line="240" w:lineRule="auto"/>
        <w:ind w:left="720"/>
        <w:jc w:val="both"/>
        <w:rPr>
          <w:rFonts w:ascii="Times New Roman" w:hAnsi="Times New Roman"/>
          <w:i/>
          <w:sz w:val="26"/>
          <w:szCs w:val="26"/>
        </w:rPr>
      </w:pPr>
      <w:r w:rsidRPr="0041501A">
        <w:rPr>
          <w:rFonts w:ascii="Times New Roman" w:hAnsi="Times New Roman"/>
          <w:i/>
          <w:sz w:val="26"/>
          <w:szCs w:val="26"/>
        </w:rPr>
        <w:t>Chuyển đổi HĐLĐ khi thay đổi quyền sở hữu, quản lý doanh nghiệp</w:t>
      </w:r>
    </w:p>
    <w:p w:rsidR="00264EDB" w:rsidRPr="0041501A" w:rsidRDefault="00264EDB" w:rsidP="00264EDB">
      <w:pPr>
        <w:pStyle w:val="ListParagraph"/>
        <w:numPr>
          <w:ilvl w:val="0"/>
          <w:numId w:val="1"/>
        </w:numPr>
        <w:spacing w:line="240" w:lineRule="auto"/>
        <w:ind w:left="720"/>
        <w:jc w:val="both"/>
        <w:rPr>
          <w:rFonts w:ascii="Times New Roman" w:hAnsi="Times New Roman"/>
          <w:i/>
          <w:sz w:val="26"/>
          <w:szCs w:val="26"/>
        </w:rPr>
      </w:pPr>
      <w:r w:rsidRPr="0041501A">
        <w:rPr>
          <w:rFonts w:ascii="Times New Roman" w:hAnsi="Times New Roman"/>
          <w:i/>
          <w:sz w:val="26"/>
          <w:szCs w:val="26"/>
        </w:rPr>
        <w:t>Ký kết HĐLĐ với quản lý doanh nghiệp</w:t>
      </w:r>
    </w:p>
    <w:p w:rsidR="00264EDB" w:rsidRPr="0041501A" w:rsidRDefault="00264EDB" w:rsidP="00264EDB">
      <w:pPr>
        <w:pStyle w:val="ListParagraph"/>
        <w:numPr>
          <w:ilvl w:val="0"/>
          <w:numId w:val="1"/>
        </w:numPr>
        <w:shd w:val="clear" w:color="auto" w:fill="FFFFFF"/>
        <w:spacing w:line="240" w:lineRule="auto"/>
        <w:ind w:left="720"/>
        <w:jc w:val="both"/>
        <w:rPr>
          <w:rFonts w:ascii="Times New Roman" w:eastAsia="Times New Roman" w:hAnsi="Times New Roman"/>
          <w:i/>
          <w:sz w:val="26"/>
          <w:szCs w:val="26"/>
        </w:rPr>
      </w:pPr>
      <w:r w:rsidRPr="0041501A">
        <w:rPr>
          <w:rFonts w:ascii="Times New Roman" w:eastAsia="Times New Roman" w:hAnsi="Times New Roman"/>
          <w:i/>
          <w:sz w:val="26"/>
          <w:szCs w:val="26"/>
          <w:bdr w:val="none" w:sz="0" w:space="0" w:color="auto" w:frame="1"/>
        </w:rPr>
        <w:t>Quyền đơn phương chấm dứt HĐLĐ của người lao động và người sử dụng lao động.</w:t>
      </w:r>
    </w:p>
    <w:p w:rsidR="00264EDB" w:rsidRPr="0041501A" w:rsidRDefault="00264EDB" w:rsidP="00264EDB">
      <w:pPr>
        <w:pStyle w:val="ListParagraph"/>
        <w:numPr>
          <w:ilvl w:val="0"/>
          <w:numId w:val="1"/>
        </w:numPr>
        <w:shd w:val="clear" w:color="auto" w:fill="FFFFFF"/>
        <w:spacing w:line="240" w:lineRule="auto"/>
        <w:ind w:left="720"/>
        <w:jc w:val="both"/>
        <w:rPr>
          <w:rFonts w:ascii="Times New Roman" w:eastAsia="Times New Roman" w:hAnsi="Times New Roman"/>
          <w:i/>
          <w:sz w:val="26"/>
          <w:szCs w:val="26"/>
        </w:rPr>
      </w:pPr>
      <w:r w:rsidRPr="0041501A">
        <w:rPr>
          <w:rFonts w:ascii="Times New Roman" w:eastAsia="Times New Roman" w:hAnsi="Times New Roman"/>
          <w:i/>
          <w:sz w:val="26"/>
          <w:szCs w:val="26"/>
          <w:bdr w:val="none" w:sz="0" w:space="0" w:color="auto" w:frame="1"/>
        </w:rPr>
        <w:t>Những trường hợp người sử dụng lao động không được phép đơn phương chấm dứt HĐLĐ</w:t>
      </w:r>
    </w:p>
    <w:p w:rsidR="00264EDB" w:rsidRPr="0041501A" w:rsidRDefault="00264EDB" w:rsidP="00264EDB">
      <w:pPr>
        <w:pStyle w:val="ListParagraph"/>
        <w:numPr>
          <w:ilvl w:val="0"/>
          <w:numId w:val="1"/>
        </w:numPr>
        <w:shd w:val="clear" w:color="auto" w:fill="FFFFFF"/>
        <w:spacing w:line="240" w:lineRule="auto"/>
        <w:ind w:left="720"/>
        <w:jc w:val="both"/>
        <w:rPr>
          <w:rFonts w:ascii="Times New Roman" w:eastAsia="Times New Roman" w:hAnsi="Times New Roman"/>
          <w:i/>
          <w:sz w:val="26"/>
          <w:szCs w:val="26"/>
        </w:rPr>
      </w:pPr>
      <w:r w:rsidRPr="0041501A">
        <w:rPr>
          <w:rFonts w:ascii="Times New Roman" w:eastAsia="Times New Roman" w:hAnsi="Times New Roman"/>
          <w:i/>
          <w:sz w:val="26"/>
          <w:szCs w:val="26"/>
          <w:bdr w:val="none" w:sz="0" w:space="0" w:color="auto" w:frame="1"/>
        </w:rPr>
        <w:t>Trách nhiệm pháp lý khi người sử dụng lao động cho người lao động thôi việc trong trường hợp tái cơ cấu doanh nghiệp, cộng nghệ, vì lý do kinh tế hoặc hợp nhất, chia tách doanh nghiệp mà dôi dư lao động</w:t>
      </w:r>
    </w:p>
    <w:p w:rsidR="00264EDB" w:rsidRPr="0041501A" w:rsidRDefault="00264EDB" w:rsidP="00264EDB">
      <w:pPr>
        <w:ind w:left="360"/>
        <w:jc w:val="both"/>
      </w:pPr>
      <w:r w:rsidRPr="00AE5815">
        <w:rPr>
          <w:b/>
        </w:rPr>
        <w:t xml:space="preserve">  3</w:t>
      </w:r>
      <w:r w:rsidRPr="0041501A">
        <w:t>.  Kỹ năng vận dụng pháp luật về hợp đồng lao động nhằm phòng chống những rủi ro, pháp lý cho doanh nghiệp trong việc sử dụng lao động theo chế độ hợp đồng</w:t>
      </w:r>
    </w:p>
    <w:p w:rsidR="00264EDB" w:rsidRPr="0041501A" w:rsidRDefault="00264EDB" w:rsidP="00264EDB">
      <w:pPr>
        <w:ind w:left="360"/>
        <w:jc w:val="both"/>
      </w:pPr>
      <w:r w:rsidRPr="00AE5815">
        <w:rPr>
          <w:b/>
        </w:rPr>
        <w:t xml:space="preserve">  4</w:t>
      </w:r>
      <w:r w:rsidRPr="0041501A">
        <w:t>.  Các tình huống vướng mắc, xung đột cụ thể thường phát sinh trong tình huống thực tế hoạt động doanh nghiệp liên quan đến hợp đồng lao động.</w:t>
      </w:r>
    </w:p>
    <w:p w:rsidR="00264EDB" w:rsidRPr="0041501A" w:rsidRDefault="00264EDB" w:rsidP="00264EDB">
      <w:pPr>
        <w:jc w:val="both"/>
        <w:rPr>
          <w:b/>
          <w:bCs/>
          <w:sz w:val="25"/>
          <w:szCs w:val="25"/>
          <w:u w:val="single"/>
        </w:rPr>
      </w:pPr>
      <w:r w:rsidRPr="0041501A">
        <w:rPr>
          <w:b/>
          <w:bCs/>
          <w:sz w:val="25"/>
          <w:szCs w:val="25"/>
          <w:u w:val="single"/>
        </w:rPr>
        <w:t xml:space="preserve"> </w:t>
      </w:r>
    </w:p>
    <w:p w:rsidR="00264EDB" w:rsidRPr="0041501A" w:rsidRDefault="00264EDB" w:rsidP="00264EDB">
      <w:pPr>
        <w:jc w:val="both"/>
        <w:rPr>
          <w:sz w:val="25"/>
          <w:szCs w:val="25"/>
        </w:rPr>
      </w:pPr>
      <w:r w:rsidRPr="0041501A">
        <w:rPr>
          <w:b/>
          <w:bCs/>
          <w:sz w:val="25"/>
          <w:szCs w:val="25"/>
          <w:u w:val="single"/>
        </w:rPr>
        <w:t>CHUYÊN ĐỀ 2</w:t>
      </w:r>
      <w:r w:rsidRPr="0041501A">
        <w:rPr>
          <w:b/>
          <w:bCs/>
          <w:sz w:val="25"/>
          <w:szCs w:val="25"/>
        </w:rPr>
        <w:t>.</w:t>
      </w:r>
      <w:r>
        <w:rPr>
          <w:b/>
          <w:bCs/>
          <w:sz w:val="25"/>
          <w:szCs w:val="25"/>
        </w:rPr>
        <w:t xml:space="preserve">  </w:t>
      </w:r>
      <w:r w:rsidRPr="0041501A">
        <w:rPr>
          <w:b/>
          <w:bCs/>
          <w:sz w:val="25"/>
          <w:szCs w:val="25"/>
        </w:rPr>
        <w:t>KỶ LUẬT LAO ĐỘNG VÀ GIẢI QUYẾT TRANH CHẤP LAO ĐỘNG</w:t>
      </w:r>
    </w:p>
    <w:p w:rsidR="00264EDB" w:rsidRPr="0041501A" w:rsidRDefault="00264EDB" w:rsidP="00264EDB">
      <w:pPr>
        <w:numPr>
          <w:ilvl w:val="0"/>
          <w:numId w:val="3"/>
        </w:numPr>
        <w:jc w:val="both"/>
      </w:pPr>
      <w:r w:rsidRPr="0041501A">
        <w:t>Căn cứ tiến hành xử lý kỷ luật lao động</w:t>
      </w:r>
    </w:p>
    <w:p w:rsidR="00264EDB" w:rsidRPr="0041501A" w:rsidRDefault="00264EDB" w:rsidP="00264EDB">
      <w:pPr>
        <w:numPr>
          <w:ilvl w:val="0"/>
          <w:numId w:val="3"/>
        </w:numPr>
        <w:jc w:val="both"/>
      </w:pPr>
      <w:r w:rsidRPr="0041501A">
        <w:t>Các hình thức xử lý kỷ luật lao động</w:t>
      </w:r>
    </w:p>
    <w:p w:rsidR="00264EDB" w:rsidRPr="0041501A" w:rsidRDefault="00264EDB" w:rsidP="00264EDB">
      <w:pPr>
        <w:numPr>
          <w:ilvl w:val="0"/>
          <w:numId w:val="3"/>
        </w:numPr>
        <w:jc w:val="both"/>
      </w:pPr>
      <w:r w:rsidRPr="0041501A">
        <w:rPr>
          <w:bdr w:val="none" w:sz="0" w:space="0" w:color="auto" w:frame="1"/>
        </w:rPr>
        <w:t>Những trường hợp người lao động bị sa thải.</w:t>
      </w:r>
    </w:p>
    <w:p w:rsidR="00264EDB" w:rsidRPr="0041501A" w:rsidRDefault="00264EDB" w:rsidP="00264EDB">
      <w:pPr>
        <w:numPr>
          <w:ilvl w:val="0"/>
          <w:numId w:val="3"/>
        </w:numPr>
        <w:shd w:val="clear" w:color="auto" w:fill="FFFFFF"/>
        <w:jc w:val="both"/>
      </w:pPr>
      <w:r w:rsidRPr="0041501A">
        <w:rPr>
          <w:bdr w:val="none" w:sz="0" w:space="0" w:color="auto" w:frame="1"/>
        </w:rPr>
        <w:t>Trình tự, thủ tục xử lý kỷ luật lao động (Hướng dẫn cụ thể từng bước và biểu mẫu liên quan)</w:t>
      </w:r>
    </w:p>
    <w:p w:rsidR="00264EDB" w:rsidRPr="0041501A" w:rsidRDefault="00264EDB" w:rsidP="00264EDB">
      <w:pPr>
        <w:numPr>
          <w:ilvl w:val="0"/>
          <w:numId w:val="3"/>
        </w:numPr>
        <w:jc w:val="both"/>
        <w:rPr>
          <w:bdr w:val="none" w:sz="0" w:space="0" w:color="auto" w:frame="1"/>
        </w:rPr>
      </w:pPr>
      <w:r w:rsidRPr="0041501A">
        <w:rPr>
          <w:bdr w:val="none" w:sz="0" w:space="0" w:color="auto" w:frame="1"/>
        </w:rPr>
        <w:t>Thẩm quyền xử lý kỷ luật lao động</w:t>
      </w:r>
    </w:p>
    <w:p w:rsidR="00264EDB" w:rsidRPr="0041501A" w:rsidRDefault="00264EDB" w:rsidP="00264EDB">
      <w:pPr>
        <w:numPr>
          <w:ilvl w:val="0"/>
          <w:numId w:val="3"/>
        </w:numPr>
        <w:jc w:val="both"/>
        <w:rPr>
          <w:bdr w:val="none" w:sz="0" w:space="0" w:color="auto" w:frame="1"/>
        </w:rPr>
      </w:pPr>
      <w:r w:rsidRPr="0041501A">
        <w:rPr>
          <w:bdr w:val="none" w:sz="0" w:space="0" w:color="auto" w:frame="1"/>
        </w:rPr>
        <w:t>Nội quy lao động</w:t>
      </w:r>
    </w:p>
    <w:p w:rsidR="00264EDB" w:rsidRPr="0041501A" w:rsidRDefault="00264EDB" w:rsidP="00264EDB">
      <w:pPr>
        <w:numPr>
          <w:ilvl w:val="0"/>
          <w:numId w:val="3"/>
        </w:numPr>
        <w:jc w:val="both"/>
      </w:pPr>
      <w:r w:rsidRPr="0041501A">
        <w:t>Kỹ năng vận dụng pháp luật về kỷ luật lao động nhằm phòng chống những rủi ro, pháp lý cho doanh nghiệp trong việc xử lý kỷ luật lao động.</w:t>
      </w:r>
    </w:p>
    <w:p w:rsidR="00264EDB" w:rsidRPr="0041501A" w:rsidRDefault="00264EDB" w:rsidP="00264EDB">
      <w:pPr>
        <w:pStyle w:val="ListParagraph"/>
        <w:numPr>
          <w:ilvl w:val="0"/>
          <w:numId w:val="3"/>
        </w:numPr>
        <w:shd w:val="clear" w:color="auto" w:fill="FFFFFF"/>
        <w:spacing w:line="240" w:lineRule="auto"/>
        <w:jc w:val="both"/>
        <w:rPr>
          <w:rFonts w:ascii="Times New Roman" w:eastAsia="Times New Roman" w:hAnsi="Times New Roman"/>
          <w:sz w:val="25"/>
          <w:szCs w:val="25"/>
        </w:rPr>
      </w:pPr>
      <w:r w:rsidRPr="0041501A">
        <w:rPr>
          <w:rFonts w:ascii="Times New Roman" w:eastAsia="Times New Roman" w:hAnsi="Times New Roman"/>
          <w:sz w:val="25"/>
          <w:szCs w:val="25"/>
          <w:bdr w:val="none" w:sz="0" w:space="0" w:color="auto" w:frame="1"/>
        </w:rPr>
        <w:t>Kỹ năng giải quyết tranh chấp lao động</w:t>
      </w:r>
    </w:p>
    <w:p w:rsidR="00264EDB" w:rsidRPr="0041501A" w:rsidRDefault="00264EDB" w:rsidP="00264EDB">
      <w:pPr>
        <w:pStyle w:val="ListParagraph"/>
        <w:numPr>
          <w:ilvl w:val="0"/>
          <w:numId w:val="3"/>
        </w:numPr>
        <w:shd w:val="clear" w:color="auto" w:fill="FFFFFF"/>
        <w:spacing w:line="240" w:lineRule="auto"/>
        <w:jc w:val="both"/>
        <w:rPr>
          <w:rFonts w:ascii="Times New Roman" w:eastAsia="Times New Roman" w:hAnsi="Times New Roman"/>
          <w:sz w:val="25"/>
          <w:szCs w:val="25"/>
        </w:rPr>
      </w:pPr>
      <w:r w:rsidRPr="0041501A">
        <w:rPr>
          <w:rFonts w:ascii="Times New Roman" w:eastAsia="Times New Roman" w:hAnsi="Times New Roman"/>
          <w:sz w:val="25"/>
          <w:szCs w:val="25"/>
          <w:bdr w:val="none" w:sz="0" w:space="0" w:color="auto" w:frame="1"/>
        </w:rPr>
        <w:t>Trợ cấp thôi việc, trợ cấp mất việc, tiền lương tính trợ cấp thôi việc và mất việc</w:t>
      </w:r>
    </w:p>
    <w:p w:rsidR="00264EDB" w:rsidRPr="0041501A" w:rsidRDefault="00264EDB" w:rsidP="00264EDB">
      <w:pPr>
        <w:pStyle w:val="ListParagraph"/>
        <w:numPr>
          <w:ilvl w:val="0"/>
          <w:numId w:val="3"/>
        </w:numPr>
        <w:spacing w:line="240" w:lineRule="auto"/>
        <w:jc w:val="both"/>
        <w:rPr>
          <w:rFonts w:ascii="Times New Roman" w:hAnsi="Times New Roman"/>
          <w:sz w:val="25"/>
          <w:szCs w:val="25"/>
        </w:rPr>
      </w:pPr>
      <w:r w:rsidRPr="0041501A">
        <w:rPr>
          <w:rFonts w:ascii="Times New Roman" w:hAnsi="Times New Roman"/>
          <w:sz w:val="25"/>
          <w:szCs w:val="25"/>
        </w:rPr>
        <w:t xml:space="preserve">Các vấn đề DN cần  lưu ý khi tiến hành xử lý kỷ luật lao động và giải quyết tranh chấp lao động </w:t>
      </w:r>
    </w:p>
    <w:p w:rsidR="00264EDB" w:rsidRPr="0041501A" w:rsidRDefault="00264EDB" w:rsidP="00264EDB">
      <w:pPr>
        <w:ind w:left="420"/>
        <w:jc w:val="both"/>
      </w:pPr>
    </w:p>
    <w:p w:rsidR="00264EDB" w:rsidRPr="0041501A" w:rsidRDefault="00264EDB" w:rsidP="00264EDB">
      <w:pPr>
        <w:shd w:val="clear" w:color="auto" w:fill="FFFFFF"/>
        <w:jc w:val="both"/>
        <w:rPr>
          <w:b/>
          <w:bCs/>
        </w:rPr>
      </w:pPr>
      <w:r w:rsidRPr="0041501A">
        <w:rPr>
          <w:b/>
          <w:bCs/>
          <w:u w:val="single"/>
        </w:rPr>
        <w:t>CHUYÊN ĐỀ 3</w:t>
      </w:r>
      <w:r>
        <w:rPr>
          <w:b/>
          <w:bCs/>
        </w:rPr>
        <w:t xml:space="preserve">. </w:t>
      </w:r>
      <w:r w:rsidRPr="0041501A">
        <w:rPr>
          <w:b/>
          <w:bCs/>
        </w:rPr>
        <w:t>KINH NGHIỆM XỬ LÝ TÌNH HUỐNG VÀ GIẢM THIỂU RỦI RO XẢY RA TRANH CHẤP HỢP ĐỒNG LAO ĐỘNG</w:t>
      </w:r>
    </w:p>
    <w:p w:rsidR="00264EDB" w:rsidRPr="0041501A" w:rsidRDefault="00264EDB" w:rsidP="00264EDB">
      <w:pPr>
        <w:shd w:val="clear" w:color="auto" w:fill="FFFFFF"/>
        <w:jc w:val="both"/>
        <w:rPr>
          <w:sz w:val="28"/>
          <w:szCs w:val="28"/>
        </w:rPr>
      </w:pPr>
      <w:r>
        <w:rPr>
          <w:b/>
          <w:bCs/>
          <w:sz w:val="28"/>
          <w:szCs w:val="28"/>
        </w:rPr>
        <w:t xml:space="preserve">    </w:t>
      </w:r>
      <w:r w:rsidRPr="0041501A">
        <w:rPr>
          <w:b/>
          <w:bCs/>
          <w:sz w:val="28"/>
          <w:szCs w:val="28"/>
        </w:rPr>
        <w:t>Trao đổi giải quyết các vướng mắc trong thực tế quản trị doanh nghiệp</w:t>
      </w:r>
    </w:p>
    <w:p w:rsidR="008D0DA5" w:rsidRDefault="008D0DA5"/>
    <w:sectPr w:rsidR="008D0DA5" w:rsidSect="00264EDB">
      <w:pgSz w:w="12240" w:h="15840"/>
      <w:pgMar w:top="450" w:right="990" w:bottom="5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D1572"/>
    <w:multiLevelType w:val="hybridMultilevel"/>
    <w:tmpl w:val="F266F718"/>
    <w:lvl w:ilvl="0" w:tplc="92AC64D6">
      <w:start w:val="2"/>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3F27EAC"/>
    <w:multiLevelType w:val="hybridMultilevel"/>
    <w:tmpl w:val="E1A62B40"/>
    <w:lvl w:ilvl="0" w:tplc="92AC64D6">
      <w:start w:val="2"/>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9203745"/>
    <w:multiLevelType w:val="hybridMultilevel"/>
    <w:tmpl w:val="D7DCCD60"/>
    <w:lvl w:ilvl="0" w:tplc="8AF209C2">
      <w:start w:val="1"/>
      <w:numFmt w:val="decimal"/>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64EDB"/>
    <w:rsid w:val="00264EDB"/>
    <w:rsid w:val="008D0D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EDB"/>
    <w:pPr>
      <w:spacing w:after="0" w:line="240" w:lineRule="auto"/>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EDB"/>
    <w:pPr>
      <w:spacing w:line="276" w:lineRule="auto"/>
      <w:ind w:left="720" w:hanging="36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cp:revision>
  <dcterms:created xsi:type="dcterms:W3CDTF">2018-07-10T02:29:00Z</dcterms:created>
  <dcterms:modified xsi:type="dcterms:W3CDTF">2018-07-10T02:30:00Z</dcterms:modified>
</cp:coreProperties>
</file>